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Расчет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поступления регулярных платежей </w:t>
      </w:r>
      <w:r>
        <w:rPr>
          <w:sz w:val="28"/>
          <w:szCs w:val="28"/>
        </w:rPr>
        <w:t xml:space="preserve">за пользование недрами при пользовании недрами на территории Российской Федерации</w:t>
      </w:r>
      <w:r>
        <w:rPr>
          <w:color w:val="000000"/>
          <w:sz w:val="28"/>
          <w:szCs w:val="28"/>
        </w:rPr>
        <w:t xml:space="preserve">, подлежащие</w:t>
      </w:r>
      <w:r>
        <w:rPr>
          <w:color w:val="000000"/>
          <w:sz w:val="28"/>
          <w:szCs w:val="28"/>
        </w:rPr>
        <w:t xml:space="preserve"> зачислению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</w:t>
      </w:r>
      <w:r>
        <w:rPr>
          <w:color w:val="000000"/>
          <w:sz w:val="28"/>
          <w:szCs w:val="28"/>
        </w:rPr>
        <w:t xml:space="preserve"> областной бюджет</w:t>
      </w:r>
      <w:r>
        <w:rPr>
          <w:color w:val="000000"/>
          <w:sz w:val="28"/>
          <w:szCs w:val="28"/>
        </w:rPr>
        <w:t xml:space="preserve">,</w:t>
      </w:r>
      <w:r>
        <w:rPr>
          <w:color w:val="000000"/>
          <w:sz w:val="28"/>
          <w:szCs w:val="28"/>
        </w:rPr>
        <w:t xml:space="preserve"> на 20</w:t>
      </w:r>
      <w:r>
        <w:rPr>
          <w:color w:val="000000"/>
          <w:sz w:val="28"/>
          <w:szCs w:val="28"/>
        </w:rPr>
        <w:t xml:space="preserve">2</w:t>
      </w:r>
      <w:r>
        <w:rPr>
          <w:color w:val="000000"/>
          <w:sz w:val="28"/>
          <w:szCs w:val="28"/>
        </w:rPr>
        <w:t xml:space="preserve">6</w:t>
      </w:r>
      <w:r>
        <w:rPr>
          <w:color w:val="000000"/>
          <w:sz w:val="28"/>
          <w:szCs w:val="28"/>
        </w:rPr>
        <w:t xml:space="preserve">–20</w:t>
      </w:r>
      <w:r>
        <w:rPr>
          <w:color w:val="000000"/>
          <w:sz w:val="28"/>
          <w:szCs w:val="28"/>
        </w:rPr>
        <w:t xml:space="preserve">28</w:t>
      </w:r>
      <w:r>
        <w:rPr>
          <w:color w:val="000000"/>
          <w:sz w:val="28"/>
          <w:szCs w:val="28"/>
        </w:rPr>
        <w:t xml:space="preserve"> годы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(тыс.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рублей)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tbl>
      <w:tblPr>
        <w:tblW w:w="10022" w:type="dxa"/>
        <w:tblInd w:w="-1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0"/>
        <w:gridCol w:w="4540"/>
        <w:gridCol w:w="1341"/>
        <w:gridCol w:w="1240"/>
        <w:gridCol w:w="1240"/>
        <w:gridCol w:w="1241"/>
      </w:tblGrid>
      <w:tr>
        <w:tblPrEx/>
        <w:trPr>
          <w:trHeight w:val="80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5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</w:t>
            </w:r>
            <w:r>
              <w:rPr>
                <w:color w:val="000000"/>
                <w:sz w:val="28"/>
                <w:szCs w:val="28"/>
              </w:rPr>
              <w:t xml:space="preserve">26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год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</w:t>
            </w:r>
            <w:r>
              <w:rPr>
                <w:color w:val="000000"/>
                <w:sz w:val="28"/>
                <w:szCs w:val="28"/>
              </w:rPr>
              <w:t xml:space="preserve">2</w:t>
            </w:r>
            <w:r>
              <w:rPr>
                <w:color w:val="000000"/>
                <w:sz w:val="28"/>
                <w:szCs w:val="28"/>
              </w:rPr>
              <w:t xml:space="preserve">7 </w:t>
            </w:r>
            <w:r>
              <w:rPr>
                <w:color w:val="000000"/>
                <w:sz w:val="28"/>
                <w:szCs w:val="28"/>
              </w:rPr>
              <w:t xml:space="preserve">год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1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</w:t>
            </w:r>
            <w:r>
              <w:rPr>
                <w:color w:val="000000"/>
                <w:sz w:val="28"/>
                <w:szCs w:val="28"/>
              </w:rPr>
              <w:t xml:space="preserve">2</w:t>
            </w:r>
            <w:r>
              <w:rPr>
                <w:color w:val="000000"/>
                <w:sz w:val="28"/>
                <w:szCs w:val="28"/>
              </w:rPr>
              <w:t xml:space="preserve">8</w:t>
            </w:r>
            <w:r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440"/>
        </w:trPr>
        <w:tc>
          <w:tcPr>
            <w:tcBorders>
              <w:top w:val="single" w:color="auto" w:sz="4" w:space="0"/>
            </w:tcBorders>
            <w:tcW w:w="420" w:type="dxa"/>
            <w:textDirection w:val="lrTb"/>
            <w:noWrap w:val="false"/>
          </w:tcPr>
          <w:p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1.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</w:tcBorders>
            <w:tcW w:w="4540" w:type="dxa"/>
            <w:textDirection w:val="lrTb"/>
            <w:noWrap w:val="false"/>
          </w:tcPr>
          <w:p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Средняя с</w:t>
            </w:r>
            <w:r>
              <w:rPr>
                <w:color w:val="000000"/>
                <w:sz w:val="28"/>
                <w:szCs w:val="28"/>
              </w:rPr>
              <w:t xml:space="preserve">умма </w:t>
            </w:r>
            <w:r>
              <w:rPr>
                <w:color w:val="000000"/>
                <w:sz w:val="28"/>
                <w:szCs w:val="28"/>
              </w:rPr>
              <w:t xml:space="preserve">начисленных </w:t>
            </w:r>
            <w:r>
              <w:rPr>
                <w:color w:val="000000"/>
                <w:sz w:val="28"/>
                <w:szCs w:val="28"/>
              </w:rPr>
              <w:t xml:space="preserve">платежей за 3 года</w:t>
            </w:r>
            <w:r>
              <w:rPr>
                <w:color w:val="000000"/>
                <w:sz w:val="28"/>
                <w:szCs w:val="28"/>
              </w:rPr>
              <w:t xml:space="preserve"> (отчет ф.1-НМ)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</w:tcBorders>
            <w:tcW w:w="1341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40 592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</w:tcBorders>
            <w:tcW w:w="1240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</w:tcBorders>
            <w:tcW w:w="1240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</w:tcBorders>
            <w:tcW w:w="1241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75"/>
        </w:trPr>
        <w:tc>
          <w:tcPr>
            <w:tcW w:w="420" w:type="dxa"/>
            <w:textDirection w:val="lrTb"/>
            <w:noWrap w:val="false"/>
          </w:tcPr>
          <w:p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4540" w:type="dxa"/>
            <w:textDirection w:val="lrTb"/>
            <w:noWrap w:val="false"/>
          </w:tcPr>
          <w:p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 них: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1341" w:type="dxa"/>
            <w:vAlign w:val="bottom"/>
            <w:textDirection w:val="lrTb"/>
            <w:noWrap w:val="false"/>
          </w:tcPr>
          <w:p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1240" w:type="dxa"/>
            <w:vAlign w:val="bottom"/>
            <w:textDirection w:val="lrTb"/>
            <w:noWrap w:val="false"/>
          </w:tcPr>
          <w:p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1240" w:type="dxa"/>
            <w:vAlign w:val="bottom"/>
            <w:textDirection w:val="lrTb"/>
            <w:noWrap w:val="false"/>
          </w:tcPr>
          <w:p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1241" w:type="dxa"/>
            <w:vAlign w:val="bottom"/>
            <w:textDirection w:val="lrTb"/>
            <w:noWrap w:val="false"/>
          </w:tcPr>
          <w:p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143"/>
        </w:trPr>
        <w:tc>
          <w:tcPr>
            <w:tcW w:w="420" w:type="dxa"/>
            <w:textDirection w:val="lrTb"/>
            <w:noWrap w:val="false"/>
          </w:tcPr>
          <w:p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4540" w:type="dxa"/>
            <w:textDirection w:val="lrTb"/>
            <w:noWrap w:val="false"/>
          </w:tcPr>
          <w:p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I–III кварталы прогнозируемого года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1341" w:type="dxa"/>
            <w:vAlign w:val="center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27 683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240" w:type="dxa"/>
            <w:vAlign w:val="center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240" w:type="dxa"/>
            <w:vAlign w:val="center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241" w:type="dxa"/>
            <w:vAlign w:val="center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893"/>
        </w:trPr>
        <w:tc>
          <w:tcPr>
            <w:tcW w:w="420" w:type="dxa"/>
            <w:textDirection w:val="lrTb"/>
            <w:noWrap w:val="false"/>
          </w:tcPr>
          <w:p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2.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4540" w:type="dxa"/>
            <w:textDirection w:val="lrTb"/>
            <w:noWrap w:val="false"/>
          </w:tcPr>
          <w:p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Прогноз поступлений платежей в прогнозируемом году за IV квартал предыдущего года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1341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9 950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240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240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241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219"/>
        </w:trPr>
        <w:tc>
          <w:tcPr>
            <w:tcW w:w="420" w:type="dxa"/>
            <w:textDirection w:val="lrTb"/>
            <w:noWrap w:val="false"/>
          </w:tcPr>
          <w:p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3.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4540" w:type="dxa"/>
            <w:textDirection w:val="lrTb"/>
            <w:noWrap w:val="false"/>
          </w:tcPr>
          <w:p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Итого сумма платежей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1341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37 633</w:t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  <w:tc>
          <w:tcPr>
            <w:tcW w:w="1240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240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241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502"/>
        </w:trPr>
        <w:tc>
          <w:tcPr>
            <w:tcW w:w="420" w:type="dxa"/>
            <w:textDirection w:val="lrTb"/>
            <w:noWrap w:val="false"/>
          </w:tcPr>
          <w:p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4.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4540" w:type="dxa"/>
            <w:textDirection w:val="lrTb"/>
            <w:noWrap w:val="false"/>
          </w:tcPr>
          <w:p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Норматив отчислений в областной бюджет (%)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1341" w:type="dxa"/>
            <w:vAlign w:val="bottom"/>
            <w:textDirection w:val="lrTb"/>
            <w:noWrap w:val="false"/>
          </w:tcPr>
          <w:p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60,0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1240" w:type="dxa"/>
            <w:vAlign w:val="bottom"/>
            <w:textDirection w:val="lrTb"/>
            <w:noWrap w:val="false"/>
          </w:tcPr>
          <w:p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1240" w:type="dxa"/>
            <w:vAlign w:val="bottom"/>
            <w:textDirection w:val="lrTb"/>
            <w:noWrap w:val="false"/>
          </w:tcPr>
          <w:p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1241" w:type="dxa"/>
            <w:vAlign w:val="bottom"/>
            <w:textDirection w:val="lrTb"/>
            <w:noWrap w:val="false"/>
          </w:tcPr>
          <w:p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464"/>
        </w:trPr>
        <w:tc>
          <w:tcPr>
            <w:tcW w:w="420" w:type="dxa"/>
            <w:textDirection w:val="lrTb"/>
            <w:noWrap w:val="false"/>
          </w:tcPr>
          <w:p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5.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4540" w:type="dxa"/>
            <w:textDirection w:val="lrTb"/>
            <w:noWrap w:val="false"/>
          </w:tcPr>
          <w:p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Сумма платежей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за пользование недрами при пользовании недрами на территории Российской Федерации</w:t>
            </w:r>
            <w:r>
              <w:rPr>
                <w:color w:val="000000"/>
                <w:sz w:val="28"/>
                <w:szCs w:val="28"/>
              </w:rPr>
              <w:t xml:space="preserve">, подлежащая зачислению в областной бюджет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1341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2</w:t>
            </w:r>
            <w:r>
              <w:rPr>
                <w:sz w:val="28"/>
                <w:szCs w:val="28"/>
                <w:lang w:val="en-US"/>
              </w:rPr>
              <w:t xml:space="preserve">2 580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240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right"/>
            </w:pPr>
            <w:r>
              <w:rPr>
                <w:sz w:val="28"/>
                <w:szCs w:val="28"/>
              </w:rPr>
              <w:t xml:space="preserve">22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580</w:t>
            </w:r>
            <w:r/>
          </w:p>
        </w:tc>
        <w:tc>
          <w:tcPr>
            <w:tcW w:w="1240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  <w:p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  <w:p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  <w:p>
            <w:pPr>
              <w:jc w:val="right"/>
            </w:pPr>
            <w:r>
              <w:rPr>
                <w:sz w:val="28"/>
                <w:szCs w:val="28"/>
                <w:lang w:val="en-US"/>
              </w:rPr>
              <w:t xml:space="preserve">22</w:t>
            </w:r>
            <w:r>
              <w:rPr>
                <w:sz w:val="28"/>
                <w:szCs w:val="28"/>
                <w:lang w:val="en-US"/>
              </w:rPr>
              <w:t xml:space="preserve"> 580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W w:w="1241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r>
              <w:rPr>
                <w:sz w:val="28"/>
                <w:szCs w:val="28"/>
              </w:rPr>
              <w:t xml:space="preserve">   </w:t>
            </w:r>
            <w:bookmarkStart w:id="0" w:name="_GoBack"/>
            <w:r/>
            <w:bookmarkEnd w:id="0"/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2</w:t>
            </w:r>
            <w:r>
              <w:rPr>
                <w:sz w:val="28"/>
                <w:szCs w:val="28"/>
              </w:rPr>
              <w:t xml:space="preserve">2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580</w:t>
            </w:r>
            <w:r/>
          </w:p>
        </w:tc>
      </w:tr>
    </w:tbl>
    <w:p>
      <w:pPr>
        <w:tabs>
          <w:tab w:val="left" w:pos="5245" w:leader="none"/>
        </w:tabs>
      </w:pPr>
      <w:r/>
      <w:r/>
    </w:p>
    <w:p>
      <w:pPr>
        <w:tabs>
          <w:tab w:val="left" w:pos="5245" w:leader="none"/>
        </w:tabs>
      </w:pPr>
      <w:r/>
      <w:r/>
    </w:p>
    <w:p>
      <w:pPr>
        <w:tabs>
          <w:tab w:val="left" w:pos="5245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sectPr>
      <w:footnotePr/>
      <w:endnotePr/>
      <w:type w:val="nextPage"/>
      <w:pgSz w:w="11907" w:h="16840" w:orient="portrait"/>
      <w:pgMar w:top="1134" w:right="851" w:bottom="1134" w:left="170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3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3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3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3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3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3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3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3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3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3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3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3"/>
    <w:link w:val="682"/>
    <w:uiPriority w:val="99"/>
  </w:style>
  <w:style w:type="paragraph" w:styleId="684">
    <w:name w:val="Footer"/>
    <w:basedOn w:val="832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3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833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rPr>
      <w:sz w:val="24"/>
      <w:szCs w:val="24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paragraph" w:styleId="836">
    <w:name w:val="Balloon Text"/>
    <w:basedOn w:val="832"/>
    <w:link w:val="837"/>
    <w:rPr>
      <w:rFonts w:ascii="Segoe UI" w:hAnsi="Segoe UI" w:cs="Segoe UI"/>
      <w:sz w:val="18"/>
      <w:szCs w:val="18"/>
    </w:rPr>
  </w:style>
  <w:style w:type="character" w:styleId="837" w:customStyle="1">
    <w:name w:val="Текст выноски Знак"/>
    <w:link w:val="8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МФ Оренбургской области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Расчет</dc:title>
  <dc:subject/>
  <dc:creator>mb2</dc:creator>
  <cp:keywords/>
  <cp:lastModifiedBy>rti</cp:lastModifiedBy>
  <cp:revision>8</cp:revision>
  <dcterms:created xsi:type="dcterms:W3CDTF">2023-09-07T11:38:00Z</dcterms:created>
  <dcterms:modified xsi:type="dcterms:W3CDTF">2025-09-18T07:57:13Z</dcterms:modified>
</cp:coreProperties>
</file>